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C" w:rsidRDefault="00FF6EDC" w:rsidP="00BA7E0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b/>
          <w:color w:val="000000"/>
          <w:sz w:val="30"/>
          <w:szCs w:val="30"/>
        </w:rPr>
      </w:pPr>
    </w:p>
    <w:p w:rsidR="00BA7E0F" w:rsidRPr="00BA7E0F" w:rsidRDefault="00BA7C8C" w:rsidP="00BA7E0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b/>
          <w:color w:val="363636"/>
          <w:sz w:val="30"/>
          <w:szCs w:val="30"/>
        </w:rPr>
      </w:pPr>
      <w:r w:rsidRPr="00BA7C8C">
        <w:rPr>
          <w:rFonts w:hint="eastAsia"/>
          <w:b/>
          <w:color w:val="000000"/>
          <w:sz w:val="30"/>
          <w:szCs w:val="30"/>
        </w:rPr>
        <w:t>关于江南大学北区变电所基础设施改造工程增加工程量和调整</w:t>
      </w:r>
      <w:proofErr w:type="gramStart"/>
      <w:r w:rsidRPr="00BA7C8C">
        <w:rPr>
          <w:rFonts w:hint="eastAsia"/>
          <w:b/>
          <w:color w:val="000000"/>
          <w:sz w:val="30"/>
          <w:szCs w:val="30"/>
        </w:rPr>
        <w:t>规</w:t>
      </w:r>
      <w:proofErr w:type="gramEnd"/>
      <w:r w:rsidRPr="00BA7C8C">
        <w:rPr>
          <w:rFonts w:hint="eastAsia"/>
          <w:b/>
          <w:color w:val="000000"/>
          <w:sz w:val="30"/>
          <w:szCs w:val="30"/>
        </w:rPr>
        <w:t>费的公告</w:t>
      </w:r>
    </w:p>
    <w:p w:rsidR="001E04E8" w:rsidRDefault="00BA7E0F" w:rsidP="00BA7E0F">
      <w:pPr>
        <w:pStyle w:val="a3"/>
        <w:shd w:val="clear" w:color="auto" w:fill="FFFFFF"/>
        <w:spacing w:before="0" w:beforeAutospacing="0" w:after="0" w:afterAutospacing="0" w:line="450" w:lineRule="atLeast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FF6EDC" w:rsidRDefault="00BA7E0F" w:rsidP="00BA7E0F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000000" w:themeColor="text1"/>
        </w:rPr>
      </w:pPr>
      <w:r>
        <w:rPr>
          <w:rFonts w:hint="eastAsia"/>
          <w:color w:val="000000"/>
        </w:rPr>
        <w:t xml:space="preserve"> </w:t>
      </w:r>
      <w:r w:rsidR="00FF6EDC" w:rsidRPr="00101F59">
        <w:rPr>
          <w:rFonts w:hint="eastAsia"/>
          <w:color w:val="000000" w:themeColor="text1"/>
        </w:rPr>
        <w:t>各报名投标单位：</w:t>
      </w:r>
    </w:p>
    <w:p w:rsidR="00322713" w:rsidRDefault="00322713" w:rsidP="00A564E8">
      <w:pPr>
        <w:pStyle w:val="a3"/>
        <w:shd w:val="clear" w:color="auto" w:fill="FFFFFF"/>
        <w:spacing w:before="0" w:beforeAutospacing="0" w:after="0" w:afterAutospacing="0" w:line="450" w:lineRule="atLeast"/>
        <w:ind w:firstLineChars="250" w:firstLine="6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现对</w:t>
      </w:r>
      <w:r w:rsidR="00FF6EDC" w:rsidRPr="00101F59">
        <w:rPr>
          <w:rFonts w:hint="eastAsia"/>
          <w:color w:val="000000" w:themeColor="text1"/>
        </w:rPr>
        <w:t>江南大学北区变电所基础设施改造工程</w:t>
      </w:r>
      <w:r w:rsidR="00BA7E0F" w:rsidRPr="00101F59">
        <w:rPr>
          <w:rFonts w:hint="eastAsia"/>
          <w:color w:val="000000" w:themeColor="text1"/>
        </w:rPr>
        <w:t>招标</w:t>
      </w:r>
      <w:r w:rsidR="00FF6EDC" w:rsidRPr="00101F59">
        <w:rPr>
          <w:rFonts w:hint="eastAsia"/>
          <w:color w:val="000000" w:themeColor="text1"/>
        </w:rPr>
        <w:t>（项目编号JDGC2017009）</w:t>
      </w:r>
      <w:bookmarkStart w:id="0" w:name="_GoBack"/>
      <w:bookmarkEnd w:id="0"/>
      <w:r w:rsidR="00FF6EDC" w:rsidRPr="00101F59">
        <w:rPr>
          <w:rFonts w:hint="eastAsia"/>
          <w:color w:val="000000" w:themeColor="text1"/>
        </w:rPr>
        <w:t>工程量</w:t>
      </w:r>
      <w:r w:rsidR="00BA7E0F" w:rsidRPr="00101F59">
        <w:rPr>
          <w:rFonts w:hint="eastAsia"/>
          <w:color w:val="000000" w:themeColor="text1"/>
        </w:rPr>
        <w:t>清单</w:t>
      </w:r>
      <w:r>
        <w:rPr>
          <w:rFonts w:hint="eastAsia"/>
          <w:color w:val="000000" w:themeColor="text1"/>
        </w:rPr>
        <w:t>作如下调整：</w:t>
      </w:r>
    </w:p>
    <w:p w:rsidR="00BA7E0F" w:rsidRPr="00101F59" w:rsidRDefault="00322713" w:rsidP="00322713">
      <w:pPr>
        <w:pStyle w:val="a3"/>
        <w:shd w:val="clear" w:color="auto" w:fill="FFFFFF"/>
        <w:spacing w:before="0" w:beforeAutospacing="0" w:after="0" w:afterAutospacing="0" w:line="45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1、</w:t>
      </w:r>
      <w:r w:rsidR="00BA7E0F" w:rsidRPr="00101F59">
        <w:rPr>
          <w:rFonts w:hint="eastAsia"/>
          <w:color w:val="000000" w:themeColor="text1"/>
        </w:rPr>
        <w:t>增加</w:t>
      </w:r>
      <w:r>
        <w:rPr>
          <w:rFonts w:hint="eastAsia"/>
          <w:color w:val="000000" w:themeColor="text1"/>
        </w:rPr>
        <w:t>如下工程量</w:t>
      </w:r>
      <w:r w:rsidR="00BA7E0F" w:rsidRPr="00101F59">
        <w:rPr>
          <w:rFonts w:hint="eastAsia"/>
          <w:color w:val="000000" w:themeColor="text1"/>
        </w:rPr>
        <w:t>内容</w:t>
      </w:r>
      <w:r>
        <w:rPr>
          <w:rFonts w:hint="eastAsia"/>
          <w:color w:val="000000" w:themeColor="text1"/>
        </w:rPr>
        <w:t>：</w:t>
      </w:r>
    </w:p>
    <w:tbl>
      <w:tblPr>
        <w:tblW w:w="9310" w:type="dxa"/>
        <w:tblInd w:w="-490" w:type="dxa"/>
        <w:tblLook w:val="04A0" w:firstRow="1" w:lastRow="0" w:firstColumn="1" w:lastColumn="0" w:noHBand="0" w:noVBand="1"/>
      </w:tblPr>
      <w:tblGrid>
        <w:gridCol w:w="456"/>
        <w:gridCol w:w="1656"/>
        <w:gridCol w:w="1295"/>
        <w:gridCol w:w="2351"/>
        <w:gridCol w:w="612"/>
        <w:gridCol w:w="772"/>
        <w:gridCol w:w="967"/>
        <w:gridCol w:w="727"/>
        <w:gridCol w:w="474"/>
      </w:tblGrid>
      <w:tr w:rsidR="007E36DF" w:rsidRPr="007E36DF" w:rsidTr="00922EDB">
        <w:trPr>
          <w:trHeight w:val="308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计量</w:t>
            </w: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216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DD30A4" w:rsidRPr="007E36DF" w:rsidTr="00922EDB">
        <w:trPr>
          <w:trHeight w:val="308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E36DF" w:rsidRPr="007E36DF" w:rsidTr="00922EDB">
        <w:trPr>
          <w:trHeight w:val="308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</w:tr>
      <w:tr w:rsidR="007E36DF" w:rsidRPr="007E36DF" w:rsidTr="00922EDB">
        <w:trPr>
          <w:trHeight w:val="293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A4" w:rsidRPr="00DD30A4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D30A4" w:rsidRPr="00DD30A4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DD30A4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</w:tr>
      <w:tr w:rsidR="00DD30A4" w:rsidRPr="007E36DF" w:rsidTr="00922EDB">
        <w:trPr>
          <w:trHeight w:val="29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011608002026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原有12个变电所水泥盖板拆除后外运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拆除原有盖板并外运（</w:t>
            </w:r>
            <w:proofErr w:type="gramStart"/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含拆下来</w:t>
            </w:r>
            <w:proofErr w:type="gramEnd"/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垃圾放在业主指定内场地上），运距投标单位自己考虑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D30A4" w:rsidRPr="007E36DF" w:rsidRDefault="00DD30A4" w:rsidP="007E36DF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7E36D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A4" w:rsidRPr="007E36DF" w:rsidRDefault="00DD30A4" w:rsidP="00DD30A4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D30A4" w:rsidRPr="007E36DF" w:rsidRDefault="00DD30A4" w:rsidP="00DD30A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DD30A4" w:rsidRDefault="00DD30A4" w:rsidP="00BA7E0F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000000"/>
        </w:rPr>
      </w:pPr>
    </w:p>
    <w:p w:rsidR="00A564E8" w:rsidRPr="007E36DF" w:rsidRDefault="00A564E8" w:rsidP="00BA7E0F">
      <w:pPr>
        <w:pStyle w:val="a3"/>
        <w:shd w:val="clear" w:color="auto" w:fill="FFFFFF"/>
        <w:spacing w:before="0" w:beforeAutospacing="0" w:after="0" w:afterAutospacing="0" w:line="450" w:lineRule="atLeast"/>
        <w:rPr>
          <w:color w:val="000000"/>
        </w:rPr>
      </w:pPr>
      <w:r>
        <w:rPr>
          <w:rFonts w:hint="eastAsia"/>
          <w:color w:val="000000"/>
        </w:rPr>
        <w:t>2、</w:t>
      </w:r>
      <w:r>
        <w:rPr>
          <w:rFonts w:hint="eastAsia"/>
          <w:color w:val="000000"/>
        </w:rPr>
        <w:t>清单中所有</w:t>
      </w:r>
      <w:proofErr w:type="gramStart"/>
      <w:r w:rsidRPr="003804D7">
        <w:rPr>
          <w:rFonts w:hint="eastAsia"/>
          <w:color w:val="000000"/>
        </w:rPr>
        <w:t>规</w:t>
      </w:r>
      <w:proofErr w:type="gramEnd"/>
      <w:r w:rsidRPr="003804D7">
        <w:rPr>
          <w:rFonts w:hint="eastAsia"/>
          <w:color w:val="000000"/>
        </w:rPr>
        <w:t>费、税金项目计价表</w:t>
      </w:r>
      <w:r>
        <w:rPr>
          <w:rFonts w:hint="eastAsia"/>
          <w:color w:val="000000"/>
        </w:rPr>
        <w:t>中“</w:t>
      </w:r>
      <w:r w:rsidRPr="003804D7">
        <w:rPr>
          <w:rFonts w:hint="eastAsia"/>
          <w:color w:val="000000"/>
        </w:rPr>
        <w:t>工程排污费</w:t>
      </w:r>
      <w:r>
        <w:rPr>
          <w:rFonts w:hint="eastAsia"/>
          <w:color w:val="000000"/>
        </w:rPr>
        <w:t>”一</w:t>
      </w:r>
      <w:proofErr w:type="gramStart"/>
      <w:r>
        <w:rPr>
          <w:rFonts w:hint="eastAsia"/>
          <w:color w:val="000000"/>
        </w:rPr>
        <w:t>栏</w:t>
      </w:r>
      <w:r w:rsidRPr="003804D7">
        <w:rPr>
          <w:rFonts w:hint="eastAsia"/>
          <w:color w:val="000000"/>
        </w:rPr>
        <w:t>计算</w:t>
      </w:r>
      <w:proofErr w:type="gramEnd"/>
      <w:r w:rsidRPr="003804D7">
        <w:rPr>
          <w:rFonts w:hint="eastAsia"/>
          <w:color w:val="000000"/>
        </w:rPr>
        <w:t>费率</w:t>
      </w:r>
      <w:r>
        <w:rPr>
          <w:rFonts w:hint="eastAsia"/>
          <w:color w:val="000000"/>
        </w:rPr>
        <w:t>都</w:t>
      </w:r>
      <w:r>
        <w:rPr>
          <w:rFonts w:hint="eastAsia"/>
          <w:color w:val="000000"/>
        </w:rPr>
        <w:t>为0。</w:t>
      </w:r>
    </w:p>
    <w:p w:rsidR="00FF6EDC" w:rsidRPr="007E36DF" w:rsidRDefault="00F4442B" w:rsidP="00A564E8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color w:val="000000"/>
        </w:rPr>
      </w:pPr>
      <w:r w:rsidRPr="007E36DF">
        <w:rPr>
          <w:rFonts w:hint="eastAsia"/>
          <w:color w:val="000000"/>
        </w:rPr>
        <w:t>特此公告。</w:t>
      </w:r>
    </w:p>
    <w:p w:rsidR="00F4442B" w:rsidRPr="007E36DF" w:rsidRDefault="00F4442B" w:rsidP="00BA7E0F">
      <w:pPr>
        <w:pStyle w:val="a3"/>
        <w:shd w:val="clear" w:color="auto" w:fill="FFFFFF"/>
        <w:spacing w:before="0" w:beforeAutospacing="0" w:after="0" w:afterAutospacing="0" w:line="450" w:lineRule="atLeast"/>
        <w:rPr>
          <w:color w:val="000000"/>
        </w:rPr>
      </w:pPr>
    </w:p>
    <w:p w:rsidR="00F4442B" w:rsidRPr="007E36DF" w:rsidRDefault="00F4442B" w:rsidP="007E36DF">
      <w:pPr>
        <w:pStyle w:val="a3"/>
        <w:shd w:val="clear" w:color="auto" w:fill="FFFFFF"/>
        <w:spacing w:before="0" w:beforeAutospacing="0" w:after="0" w:afterAutospacing="0" w:line="450" w:lineRule="atLeast"/>
        <w:ind w:firstLineChars="1595" w:firstLine="3828"/>
        <w:rPr>
          <w:color w:val="000000"/>
        </w:rPr>
      </w:pPr>
      <w:r w:rsidRPr="007E36DF">
        <w:rPr>
          <w:rFonts w:hint="eastAsia"/>
          <w:color w:val="000000"/>
        </w:rPr>
        <w:t>江南大学招投标管理办公室</w:t>
      </w:r>
    </w:p>
    <w:p w:rsidR="00F4442B" w:rsidRPr="007E36DF" w:rsidRDefault="00F4442B" w:rsidP="007E36DF">
      <w:pPr>
        <w:pStyle w:val="a3"/>
        <w:shd w:val="clear" w:color="auto" w:fill="FFFFFF"/>
        <w:spacing w:before="0" w:beforeAutospacing="0" w:after="0" w:afterAutospacing="0" w:line="450" w:lineRule="atLeast"/>
        <w:ind w:firstLineChars="1795" w:firstLine="4308"/>
        <w:rPr>
          <w:rFonts w:ascii="微软雅黑" w:eastAsia="微软雅黑" w:hAnsi="微软雅黑"/>
          <w:color w:val="363636"/>
        </w:rPr>
      </w:pPr>
      <w:r w:rsidRPr="007E36DF">
        <w:rPr>
          <w:rFonts w:hint="eastAsia"/>
          <w:color w:val="000000"/>
        </w:rPr>
        <w:t>2017年5月27日</w:t>
      </w:r>
    </w:p>
    <w:p w:rsidR="00BA7E0F" w:rsidRPr="007E36DF" w:rsidRDefault="00BA7E0F">
      <w:pPr>
        <w:rPr>
          <w:sz w:val="24"/>
          <w:szCs w:val="24"/>
        </w:rPr>
      </w:pPr>
    </w:p>
    <w:sectPr w:rsidR="00BA7E0F" w:rsidRPr="007E36DF" w:rsidSect="0012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B8" w:rsidRDefault="003065B8" w:rsidP="00BA7C8C">
      <w:r>
        <w:separator/>
      </w:r>
    </w:p>
  </w:endnote>
  <w:endnote w:type="continuationSeparator" w:id="0">
    <w:p w:rsidR="003065B8" w:rsidRDefault="003065B8" w:rsidP="00BA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B8" w:rsidRDefault="003065B8" w:rsidP="00BA7C8C">
      <w:r>
        <w:separator/>
      </w:r>
    </w:p>
  </w:footnote>
  <w:footnote w:type="continuationSeparator" w:id="0">
    <w:p w:rsidR="003065B8" w:rsidRDefault="003065B8" w:rsidP="00BA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E0F"/>
    <w:rsid w:val="00101F59"/>
    <w:rsid w:val="0012232D"/>
    <w:rsid w:val="001E04E8"/>
    <w:rsid w:val="003065B8"/>
    <w:rsid w:val="00322713"/>
    <w:rsid w:val="00526446"/>
    <w:rsid w:val="00763FF0"/>
    <w:rsid w:val="007E36DF"/>
    <w:rsid w:val="00922EDB"/>
    <w:rsid w:val="00A564E8"/>
    <w:rsid w:val="00BA7C8C"/>
    <w:rsid w:val="00BA7E0F"/>
    <w:rsid w:val="00DD30A4"/>
    <w:rsid w:val="00E23D66"/>
    <w:rsid w:val="00F4442B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7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C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7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3218-72B8-40AE-996D-7ED2F487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dcterms:created xsi:type="dcterms:W3CDTF">2017-05-27T05:56:00Z</dcterms:created>
  <dcterms:modified xsi:type="dcterms:W3CDTF">2017-05-27T07:28:00Z</dcterms:modified>
</cp:coreProperties>
</file>